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2F5" w:rsidRPr="005A0ED9" w:rsidRDefault="00C2259B" w:rsidP="005D3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Zagadnienia do części teoretycznej e</w:t>
      </w:r>
      <w:r w:rsidR="005D32F5" w:rsidRPr="005A0ED9">
        <w:rPr>
          <w:rFonts w:ascii="Times New Roman" w:hAnsi="Times New Roman" w:cs="Times New Roman"/>
          <w:b/>
          <w:sz w:val="24"/>
          <w:szCs w:val="24"/>
        </w:rPr>
        <w:t>gzamin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5D32F5" w:rsidRPr="005A0ED9">
        <w:rPr>
          <w:rFonts w:ascii="Times New Roman" w:hAnsi="Times New Roman" w:cs="Times New Roman"/>
          <w:b/>
          <w:sz w:val="24"/>
          <w:szCs w:val="24"/>
        </w:rPr>
        <w:t xml:space="preserve"> dyplomow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="005D32F5" w:rsidRPr="005A0ED9">
        <w:rPr>
          <w:rFonts w:ascii="Times New Roman" w:hAnsi="Times New Roman" w:cs="Times New Roman"/>
          <w:b/>
          <w:sz w:val="24"/>
          <w:szCs w:val="24"/>
        </w:rPr>
        <w:t xml:space="preserve"> na kierunku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5D32F5" w:rsidRPr="00F74B87">
        <w:rPr>
          <w:rFonts w:ascii="Times New Roman" w:hAnsi="Times New Roman" w:cs="Times New Roman"/>
          <w:b/>
          <w:i/>
          <w:sz w:val="24"/>
          <w:szCs w:val="24"/>
        </w:rPr>
        <w:t>finanse i rachunkowość</w:t>
      </w:r>
      <w:r w:rsidR="005D32F5" w:rsidRPr="005A0ED9">
        <w:t xml:space="preserve"> </w:t>
      </w:r>
      <w:r w:rsidR="005D32F5" w:rsidRPr="005A0ED9">
        <w:rPr>
          <w:rFonts w:ascii="Times New Roman" w:hAnsi="Times New Roman" w:cs="Times New Roman"/>
          <w:b/>
          <w:sz w:val="24"/>
          <w:szCs w:val="24"/>
        </w:rPr>
        <w:t>studia pierwszego stopnia o profilu praktycznym</w:t>
      </w:r>
    </w:p>
    <w:p w:rsidR="005D32F5" w:rsidRDefault="005D32F5" w:rsidP="005D32F5">
      <w:pPr>
        <w:pStyle w:val="Akapitzlist"/>
        <w:ind w:left="0" w:firstLine="142"/>
        <w:rPr>
          <w:rFonts w:ascii="Times New Roman" w:hAnsi="Times New Roman" w:cs="Times New Roman"/>
          <w:sz w:val="24"/>
          <w:szCs w:val="24"/>
        </w:rPr>
      </w:pPr>
    </w:p>
    <w:p w:rsidR="00C2259B" w:rsidRPr="005A0ED9" w:rsidRDefault="00C2259B" w:rsidP="005D32F5">
      <w:pPr>
        <w:pStyle w:val="Akapitzlist"/>
        <w:ind w:left="0" w:firstLine="142"/>
        <w:rPr>
          <w:rFonts w:ascii="Times New Roman" w:hAnsi="Times New Roman" w:cs="Times New Roman"/>
          <w:sz w:val="24"/>
          <w:szCs w:val="24"/>
        </w:rPr>
      </w:pP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Polityka</w:t>
      </w:r>
      <w:r w:rsidR="005A42B5">
        <w:rPr>
          <w:rFonts w:ascii="Times New Roman" w:hAnsi="Times New Roman" w:cs="Times New Roman"/>
          <w:sz w:val="24"/>
          <w:szCs w:val="24"/>
        </w:rPr>
        <w:t xml:space="preserve">, </w:t>
      </w:r>
      <w:r w:rsidRPr="005A0ED9">
        <w:rPr>
          <w:rFonts w:ascii="Times New Roman" w:hAnsi="Times New Roman" w:cs="Times New Roman"/>
          <w:sz w:val="24"/>
          <w:szCs w:val="24"/>
        </w:rPr>
        <w:t>zasady rachunkowości.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Zakres podmiotowy i przedmiotowy rachunkowości.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Metody wyceny aktywów i pasywów.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Metody inwentaryzacji.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Środki pieniężne – obrót gotówkowy i bezgotówkowy.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Środki trwałe i ich amortyzacja.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Obrót materiałowy i towarowy – metody wyceny i ewidencji.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Rachunek kosztów – klasyfikacja, ewidencja.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Koszt wytworzenia produktów.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Wyroby gotowe, półprodukty, produkcja w toku.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Wynik finansowy – zasady ustalania, wariant porównawczy i kalkulacyjny.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Sprawozdawczość finansowa przedsiębiorstw.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Sprawozdawczy i zarządczy rachunek kosztów.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Metody rachunkowości zarządczej i controlingu finansowego.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Sprawozdawczość niefinansowa.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Istota</w:t>
      </w:r>
      <w:r w:rsidR="005A42B5">
        <w:rPr>
          <w:rFonts w:ascii="Times New Roman" w:hAnsi="Times New Roman" w:cs="Times New Roman"/>
          <w:sz w:val="24"/>
          <w:szCs w:val="24"/>
        </w:rPr>
        <w:t>,</w:t>
      </w:r>
      <w:r w:rsidRPr="005A0ED9">
        <w:rPr>
          <w:rFonts w:ascii="Times New Roman" w:hAnsi="Times New Roman" w:cs="Times New Roman"/>
          <w:sz w:val="24"/>
          <w:szCs w:val="24"/>
        </w:rPr>
        <w:t xml:space="preserve"> przedmiot </w:t>
      </w:r>
      <w:r w:rsidR="005A42B5">
        <w:rPr>
          <w:rFonts w:ascii="Times New Roman" w:hAnsi="Times New Roman" w:cs="Times New Roman"/>
          <w:sz w:val="24"/>
          <w:szCs w:val="24"/>
        </w:rPr>
        <w:t>oraz</w:t>
      </w:r>
      <w:r w:rsidRPr="005A0ED9">
        <w:rPr>
          <w:rFonts w:ascii="Times New Roman" w:hAnsi="Times New Roman" w:cs="Times New Roman"/>
          <w:sz w:val="24"/>
          <w:szCs w:val="24"/>
        </w:rPr>
        <w:t xml:space="preserve"> podmiot finansów publicznych.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Istota</w:t>
      </w:r>
      <w:r w:rsidR="005A42B5">
        <w:rPr>
          <w:rFonts w:ascii="Times New Roman" w:hAnsi="Times New Roman" w:cs="Times New Roman"/>
          <w:sz w:val="24"/>
          <w:szCs w:val="24"/>
        </w:rPr>
        <w:t xml:space="preserve">, </w:t>
      </w:r>
      <w:r w:rsidRPr="005A0ED9">
        <w:rPr>
          <w:rFonts w:ascii="Times New Roman" w:hAnsi="Times New Roman" w:cs="Times New Roman"/>
          <w:sz w:val="24"/>
          <w:szCs w:val="24"/>
        </w:rPr>
        <w:t xml:space="preserve">przedmiot </w:t>
      </w:r>
      <w:r w:rsidR="005A42B5">
        <w:rPr>
          <w:rFonts w:ascii="Times New Roman" w:hAnsi="Times New Roman" w:cs="Times New Roman"/>
          <w:sz w:val="24"/>
          <w:szCs w:val="24"/>
        </w:rPr>
        <w:t>oraz</w:t>
      </w:r>
      <w:r w:rsidRPr="005A0ED9">
        <w:rPr>
          <w:rFonts w:ascii="Times New Roman" w:hAnsi="Times New Roman" w:cs="Times New Roman"/>
          <w:sz w:val="24"/>
          <w:szCs w:val="24"/>
        </w:rPr>
        <w:t xml:space="preserve"> podmiot finansów przedsiębiorstw.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Funkcje, rodzaje i cechy pieniądza.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Metody oceny opłacalności inwestycji.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Charakterystyka</w:t>
      </w:r>
      <w:r w:rsidR="005A42B5">
        <w:rPr>
          <w:rFonts w:ascii="Times New Roman" w:hAnsi="Times New Roman" w:cs="Times New Roman"/>
          <w:sz w:val="24"/>
          <w:szCs w:val="24"/>
        </w:rPr>
        <w:t>,</w:t>
      </w:r>
      <w:r w:rsidRPr="005A0ED9">
        <w:rPr>
          <w:rFonts w:ascii="Times New Roman" w:hAnsi="Times New Roman" w:cs="Times New Roman"/>
          <w:sz w:val="24"/>
          <w:szCs w:val="24"/>
        </w:rPr>
        <w:t xml:space="preserve"> rodzaje oraz przyczyny i skutki zjawiska inflacji.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Charakterystyka</w:t>
      </w:r>
      <w:r w:rsidR="005A42B5">
        <w:rPr>
          <w:rFonts w:ascii="Times New Roman" w:hAnsi="Times New Roman" w:cs="Times New Roman"/>
          <w:sz w:val="24"/>
          <w:szCs w:val="24"/>
        </w:rPr>
        <w:t>,</w:t>
      </w:r>
      <w:r w:rsidRPr="005A0ED9">
        <w:rPr>
          <w:rFonts w:ascii="Times New Roman" w:hAnsi="Times New Roman" w:cs="Times New Roman"/>
          <w:sz w:val="24"/>
          <w:szCs w:val="24"/>
        </w:rPr>
        <w:t xml:space="preserve"> funkcje i zadania banku centralnego.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Rola Rady Polityki Pieniężnej, w tym prezentacja stóp procentowych NBP.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Instrumenty kształtowania podaży pieniądza na rynku.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Źródła finansowania przedsiębiorstw.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Koncepcja VBM – zarządzania wartością przedsiębiorstwa.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Pojęcie, istota</w:t>
      </w:r>
      <w:r w:rsidR="00C63CB5">
        <w:rPr>
          <w:rFonts w:ascii="Times New Roman" w:hAnsi="Times New Roman" w:cs="Times New Roman"/>
          <w:sz w:val="24"/>
          <w:szCs w:val="24"/>
        </w:rPr>
        <w:t xml:space="preserve"> oraz</w:t>
      </w:r>
      <w:r w:rsidRPr="005A0ED9">
        <w:rPr>
          <w:rFonts w:ascii="Times New Roman" w:hAnsi="Times New Roman" w:cs="Times New Roman"/>
          <w:sz w:val="24"/>
          <w:szCs w:val="24"/>
        </w:rPr>
        <w:t xml:space="preserve"> rodzaje koszt</w:t>
      </w:r>
      <w:r w:rsidR="00C63CB5"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 w:rsidRPr="005A0ED9">
        <w:rPr>
          <w:rFonts w:ascii="Times New Roman" w:hAnsi="Times New Roman" w:cs="Times New Roman"/>
          <w:sz w:val="24"/>
          <w:szCs w:val="24"/>
        </w:rPr>
        <w:t xml:space="preserve"> kapitału w przedsiębiorstwie.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Etapy</w:t>
      </w:r>
      <w:r w:rsidR="005931D0">
        <w:rPr>
          <w:rFonts w:ascii="Times New Roman" w:hAnsi="Times New Roman" w:cs="Times New Roman"/>
          <w:sz w:val="24"/>
          <w:szCs w:val="24"/>
        </w:rPr>
        <w:t>,</w:t>
      </w:r>
      <w:r w:rsidRPr="005A0ED9">
        <w:rPr>
          <w:rFonts w:ascii="Times New Roman" w:hAnsi="Times New Roman" w:cs="Times New Roman"/>
          <w:sz w:val="24"/>
          <w:szCs w:val="24"/>
        </w:rPr>
        <w:t xml:space="preserve"> obszary i narzędzia analizy finansowej.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Rynek pieniężny i kapitałowy – charakterystyka i instrumenty finansowe.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Funkcjonowanie, zadania i rynki giełdy papierów wartościowych.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Klasyfikacja dochodów i wydatków budżetu państwa.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lastRenderedPageBreak/>
        <w:t>Istota oraz rodzaje instrumentów finansowych.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Metody wyceny przedsiębiorstw.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Dźwignia finansowa i dźwignia operacyjna.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Deficyt budżetowy, progi ostrożnościowe oraz dług publiczny.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Bieżąca i przyszła wartość pieniądza – istota i metody pomiaru.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Istota i funkcje ubezpieczeń gospodarczych.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Ubezpieczenia na życie i ich charakterystyka.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Ubezpieczenia komunikacyjne i ich charakterystyka.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5A0ED9">
        <w:rPr>
          <w:rFonts w:ascii="Times New Roman" w:hAnsi="Times New Roman" w:cs="Times New Roman"/>
          <w:sz w:val="24"/>
          <w:szCs w:val="24"/>
        </w:rPr>
        <w:t>Underwriting</w:t>
      </w:r>
      <w:proofErr w:type="spellEnd"/>
      <w:r w:rsidRPr="005A0ED9">
        <w:rPr>
          <w:rFonts w:ascii="Times New Roman" w:hAnsi="Times New Roman" w:cs="Times New Roman"/>
          <w:sz w:val="24"/>
          <w:szCs w:val="24"/>
        </w:rPr>
        <w:t xml:space="preserve"> ubezpieczeniowy.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Reasekuracja i jej znaczenie dla działalności ubezpieczycieli i ubezpieczonych.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Dyrektywa SOLVENCY II – jej istota i znaczenie dla stron relacji ubezpieczeniowych.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Komisja Nadzoru Finansowego – charakterystyka, rola i znaczenie dla sektora ubezpieczeniowego.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Ryzyko jako przedmiot ubezpieczenia.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Projekt – jego istota, cechy i klasyfikacja.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Zarządzanie projektami – charakterystyka, cele, zastosowanie w działalności przedsiębiorstw.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Formy organizacyjno-prawne prowadzenia działalności gospodarczej.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Podatek – istota, rodzaje podatków, konstrukcja.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Podatki a opłaty (różnice, podobieństwa).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Zasady i formy ewidencji podatkowych.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Formy opodatkowania podatkiem dochodowym od osób fizycznych działalności gospodarczej prowadzonej przez osoby fizyczne oraz terminy i zasady wpłacania poszczególnych podatków.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Opodatkowanie stawką 19% w ustawie o podatku dochodowym od osób fizycznych oraz przypadki kiedy stawki tej nie można zastosować.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Jakie metody amortyzacji środków trwałych dopuszczają przepisy podatkowe?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 xml:space="preserve">Zasady prowadzenia ewidencji w podatku od towarów i usług oraz ogólne zasady wystawiania faktur na rzecz podmiotów prowadzących działalność gospodarczą. 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Charakterystyka i funkcje systemu bankowego.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Charakterystyka i zadania banku centralnego.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Stopy procentowe NBP – rola Rady Polityki Pieniężnej.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Pojęcie banku komercyjnego.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lastRenderedPageBreak/>
        <w:t>Metody oceny zdolności kredytowej.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Rodzaje i zarządzanie ryzykiem bankowym</w:t>
      </w:r>
      <w:r w:rsidR="0066107A">
        <w:rPr>
          <w:rFonts w:ascii="Times New Roman" w:hAnsi="Times New Roman" w:cs="Times New Roman"/>
          <w:sz w:val="24"/>
          <w:szCs w:val="24"/>
        </w:rPr>
        <w:t>.</w:t>
      </w:r>
    </w:p>
    <w:p w:rsidR="005D32F5" w:rsidRPr="005A0ED9" w:rsidRDefault="005D32F5" w:rsidP="005D32F5">
      <w:pPr>
        <w:pStyle w:val="Akapitzlist"/>
        <w:numPr>
          <w:ilvl w:val="0"/>
          <w:numId w:val="1"/>
        </w:numPr>
        <w:spacing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A0ED9">
        <w:rPr>
          <w:rFonts w:ascii="Times New Roman" w:hAnsi="Times New Roman" w:cs="Times New Roman"/>
          <w:sz w:val="24"/>
          <w:szCs w:val="24"/>
        </w:rPr>
        <w:t>Pojęcie</w:t>
      </w:r>
      <w:r w:rsidR="007548C6">
        <w:rPr>
          <w:rFonts w:ascii="Times New Roman" w:hAnsi="Times New Roman" w:cs="Times New Roman"/>
          <w:sz w:val="24"/>
          <w:szCs w:val="24"/>
        </w:rPr>
        <w:t>,</w:t>
      </w:r>
      <w:r w:rsidRPr="005A0ED9">
        <w:rPr>
          <w:rFonts w:ascii="Times New Roman" w:hAnsi="Times New Roman" w:cs="Times New Roman"/>
          <w:sz w:val="24"/>
          <w:szCs w:val="24"/>
        </w:rPr>
        <w:t xml:space="preserve"> istota audytu wewnętrznego oraz zewnętrznego.</w:t>
      </w:r>
    </w:p>
    <w:p w:rsidR="00424115" w:rsidRDefault="00C63CB5"/>
    <w:sectPr w:rsidR="0042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C597D"/>
    <w:multiLevelType w:val="hybridMultilevel"/>
    <w:tmpl w:val="2FF2BA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F5"/>
    <w:rsid w:val="005931D0"/>
    <w:rsid w:val="005A42B5"/>
    <w:rsid w:val="005D32F5"/>
    <w:rsid w:val="0066107A"/>
    <w:rsid w:val="007548C6"/>
    <w:rsid w:val="00A35744"/>
    <w:rsid w:val="00C2259B"/>
    <w:rsid w:val="00C63CB5"/>
    <w:rsid w:val="00ED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A9D8"/>
  <w15:chartTrackingRefBased/>
  <w15:docId w15:val="{34951806-4431-433A-AB62-3328860B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32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Klak</dc:creator>
  <cp:keywords/>
  <dc:description/>
  <cp:lastModifiedBy>Dariusz Klak</cp:lastModifiedBy>
  <cp:revision>7</cp:revision>
  <dcterms:created xsi:type="dcterms:W3CDTF">2025-02-27T09:44:00Z</dcterms:created>
  <dcterms:modified xsi:type="dcterms:W3CDTF">2025-03-03T11:29:00Z</dcterms:modified>
</cp:coreProperties>
</file>